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ascii="Arial" w:hAnsi="Arial" w:eastAsia="宋体"/>
          <w:b/>
          <w:i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TSG-RAN WG4 Meeting #100-e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/>
          <w:b/>
          <w:sz w:val="24"/>
          <w:lang w:eastAsia="zh-CN"/>
        </w:rPr>
        <w:t>R4-2113194</w:t>
      </w:r>
      <w:bookmarkStart w:id="1" w:name="_GoBack"/>
      <w:bookmarkEnd w:id="1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ascii="Arial" w:hAnsi="Arial" w:eastAsia="宋体" w:cs="Arial"/>
          <w:b/>
          <w:sz w:val="24"/>
          <w:lang w:eastAsia="zh-CN"/>
        </w:rPr>
        <w:t>Electronic Meeting, August 16-27, 2021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eastAsia="MS Mincho"/>
          <w:b/>
          <w:sz w:val="24"/>
          <w:lang w:eastAsia="zh-CN"/>
        </w:rPr>
      </w:pPr>
      <w:r>
        <w:rPr>
          <w:rFonts w:ascii="Arial" w:hAnsi="Arial" w:eastAsia="MS Mincho"/>
          <w:b/>
          <w:sz w:val="24"/>
        </w:rPr>
        <w:t>Title:</w:t>
      </w:r>
      <w:r>
        <w:rPr>
          <w:rFonts w:hint="eastAsia" w:ascii="Arial" w:hAnsi="Arial" w:eastAsiaTheme="minorEastAsia"/>
          <w:b/>
          <w:sz w:val="24"/>
          <w:lang w:eastAsia="zh-CN"/>
        </w:rPr>
        <w:t xml:space="preserve">          </w:t>
      </w:r>
      <w:r>
        <w:rPr>
          <w:rFonts w:hint="eastAsia" w:ascii="Arial" w:hAnsi="Arial" w:eastAsia="MS Mincho"/>
          <w:b/>
          <w:sz w:val="24"/>
          <w:lang w:eastAsia="zh-CN"/>
        </w:rPr>
        <w:t>Discussion on NR FR2 HST scenario-B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sv-SE"/>
        </w:rPr>
        <w:t>Agenda Item:</w:t>
      </w:r>
      <w:r>
        <w:rPr>
          <w:sz w:val="24"/>
          <w:lang w:val="sv-SE"/>
        </w:rPr>
        <w:tab/>
      </w:r>
      <w:r>
        <w:rPr>
          <w:rFonts w:hint="eastAsia" w:eastAsia="宋体"/>
          <w:sz w:val="24"/>
          <w:lang w:val="en-US" w:eastAsia="zh-CN"/>
        </w:rPr>
        <w:t>9.9.2.2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The transmission scheme and deployment for scenario-B were discussed in RAN 4# 99-e meeting. While the deployment type for scenario-B was not reached and the number of beam for scenario-B needs more discussion.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contribution, we give our views about deployment and transmission scheme for HST_FR2 scenario-B.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 xml:space="preserve">In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RAN4# 99-e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meeting, the following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issues of deployment for scenario-Bwere captured</w:t>
      </w:r>
      <w:r>
        <w:rPr>
          <w:rFonts w:hint="eastAsia" w:ascii="Times New Roman" w:hAnsi="Times New Roman"/>
          <w:bCs/>
          <w:kern w:val="0"/>
          <w:sz w:val="20"/>
          <w:szCs w:val="20"/>
          <w:vertAlign w:val="superscript"/>
        </w:rPr>
        <w:t>[1]</w:t>
      </w:r>
      <w:r>
        <w:rPr>
          <w:rFonts w:ascii="Times New Roman" w:hAnsi="Times New Roman"/>
          <w:bCs/>
          <w:kern w:val="0"/>
          <w:sz w:val="20"/>
          <w:szCs w:val="20"/>
        </w:rPr>
        <w:t>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Comparison btw. uni- and bi-directional RRH deployments for Scenario-B: 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From signal strength and beam coverage perspective: </w:t>
            </w:r>
          </w:p>
          <w:p>
            <w:pPr>
              <w:numPr>
                <w:ilvl w:val="0"/>
                <w:numId w:val="6"/>
              </w:numPr>
              <w:tabs>
                <w:tab w:val="left" w:pos="420"/>
                <w:tab w:val="clear" w:pos="84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FFS Bi-directional deployment’s advantage over uni-directional deployment based on deployment scenario analysis.</w:t>
            </w:r>
          </w:p>
          <w:p>
            <w:pPr>
              <w:numPr>
                <w:ilvl w:val="0"/>
                <w:numId w:val="6"/>
              </w:numPr>
              <w:tabs>
                <w:tab w:val="left" w:pos="420"/>
                <w:tab w:val="clear" w:pos="840"/>
              </w:tabs>
              <w:autoSpaceDE w:val="0"/>
              <w:autoSpaceDN w:val="0"/>
              <w:adjustRightInd w:val="0"/>
              <w:spacing w:after="0"/>
              <w:rPr>
                <w:bCs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FFS only need to consider uni-directional deployment for Scenario-B</w:t>
            </w:r>
          </w:p>
        </w:tc>
      </w:tr>
    </w:tbl>
    <w:p>
      <w:pPr>
        <w:pStyle w:val="29"/>
        <w:adjustRightInd w:val="0"/>
        <w:snapToGrid w:val="0"/>
        <w:spacing w:after="0" w:line="240" w:lineRule="auto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For comparison between uni-directional and bi-directional deployment for scenario-B, we assume 2 beams per RRH panel and 1 beam per CPE panel. Table A-1 in appendix summarizes our evaluation assumptions for these two deployments of scenario-A. Figure 2 and figure 3 show uni-directional deployment and bi-directional deployment respectively. The Rx power comparison between uni-directional deployment and bi-directional deployment is shown in figure 1.</w:t>
      </w:r>
    </w:p>
    <w:p>
      <w:pPr>
        <w:pStyle w:val="29"/>
        <w:adjustRightInd w:val="0"/>
        <w:snapToGrid w:val="0"/>
        <w:spacing w:after="0" w:line="240" w:lineRule="auto"/>
        <w:ind w:firstLine="0" w:firstLineChars="0"/>
        <w:jc w:val="center"/>
      </w:pPr>
      <w:r>
        <w:drawing>
          <wp:inline distT="0" distB="0" distL="0" distR="0">
            <wp:extent cx="2092960" cy="1786890"/>
            <wp:effectExtent l="0" t="0" r="0" b="0"/>
            <wp:docPr id="4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954" r="6459" b="2520"/>
                    <a:stretch>
                      <a:fillRect/>
                    </a:stretch>
                  </pic:blipFill>
                  <pic:spPr>
                    <a:xfrm>
                      <a:off x="0" y="0"/>
                      <a:ext cx="2093053" cy="1787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9"/>
        <w:adjustRightInd w:val="0"/>
        <w:snapToGrid w:val="0"/>
        <w:spacing w:after="0" w:line="240" w:lineRule="auto"/>
        <w:ind w:firstLine="0" w:firstLineChars="0"/>
        <w:jc w:val="center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</w:rPr>
        <w:t>Figure 1, Rx power comparison between uni-directional and bi-directional deployment for scenario-B when a CPE travels from Ds to 2*Ds</w:t>
      </w:r>
    </w:p>
    <w:p>
      <w:pPr>
        <w:jc w:val="center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0" distR="0">
            <wp:extent cx="4754245" cy="116586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9828"/>
                    <a:stretch>
                      <a:fillRect/>
                    </a:stretch>
                  </pic:blipFill>
                  <pic:spPr>
                    <a:xfrm>
                      <a:off x="0" y="0"/>
                      <a:ext cx="4754245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9"/>
        <w:ind w:firstLine="0" w:firstLineChars="0"/>
        <w:jc w:val="center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</w:rPr>
        <w:t>Figure 2, Depiction of bi-directional deployment for scenario-B</w:t>
      </w:r>
    </w:p>
    <w:p>
      <w:pPr>
        <w:jc w:val="center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0" distR="0">
            <wp:extent cx="4744720" cy="1144905"/>
            <wp:effectExtent l="0" t="0" r="1016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0654"/>
                    <a:stretch>
                      <a:fillRect/>
                    </a:stretch>
                  </pic:blipFill>
                  <pic:spPr>
                    <a:xfrm>
                      <a:off x="0" y="0"/>
                      <a:ext cx="474472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9"/>
        <w:ind w:firstLine="0" w:firstLineChars="0"/>
        <w:jc w:val="center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</w:rPr>
        <w:t>Figure 3, Depiction of uni-directional deployment for scenario-B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From figure 1 we can find that bi-directional deployment provides slightly better coverage performance than that of uni-directional deployment at the cost of more beam switching. From figure A-1 and A-2 in appendix we can find that the number of beam switching for uni-directional deployment is 3 and the number of beam switching for bi-directional deployment is 6 when only Rx power is considered.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On the other hand, the issue of propagation delay jump for uni-directional deployment was identified in RAN4 # 99-e meeting, whether the method to handle the propagation delay hopping is still under discussion in RRM session.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</w:rPr>
        <w:t>Observation 1: Bi-directional deployment provides slightly better coverage than that of uni-directional deployment at the cost of more beam switching.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</w:rPr>
        <w:t>1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To 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wait for the conclusion </w:t>
      </w:r>
      <w:r>
        <w:rPr>
          <w:rFonts w:hint="eastAsia" w:ascii="Times New Roman" w:hAnsi="Times New Roman"/>
          <w:b/>
          <w:kern w:val="0"/>
          <w:sz w:val="20"/>
          <w:szCs w:val="20"/>
        </w:rPr>
        <w:t>on handling of propagation delay hopping in RRM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session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to determine the deployment for scenario-B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For the number of Rx beam, the following is still FFS in RAN4# 99-e meeting</w:t>
      </w:r>
      <w:r>
        <w:rPr>
          <w:rFonts w:hint="eastAsia" w:ascii="Times New Roman" w:hAnsi="Times New Roman"/>
          <w:bCs/>
          <w:kern w:val="0"/>
          <w:sz w:val="20"/>
          <w:szCs w:val="20"/>
          <w:vertAlign w:val="superscript"/>
        </w:rPr>
        <w:t>[1]</w:t>
      </w:r>
      <w:r>
        <w:rPr>
          <w:rFonts w:hint="eastAsia" w:ascii="Times New Roman" w:hAnsi="Times New Roman"/>
          <w:bCs/>
          <w:kern w:val="0"/>
          <w:sz w:val="20"/>
          <w:szCs w:val="20"/>
        </w:rPr>
        <w:t>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Number of Beam(s) for uni-directional (if confirmed to be used), Scenario-B: 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parameter:</w:t>
            </w:r>
          </w:p>
          <w:p>
            <w:pPr>
              <w:numPr>
                <w:ilvl w:val="0"/>
                <w:numId w:val="6"/>
              </w:numPr>
              <w:tabs>
                <w:tab w:val="left" w:pos="420"/>
                <w:tab w:val="clear" w:pos="84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2 beams per RRH panel </w:t>
            </w:r>
          </w:p>
          <w:p>
            <w:pPr>
              <w:numPr>
                <w:ilvl w:val="0"/>
                <w:numId w:val="6"/>
              </w:numPr>
              <w:tabs>
                <w:tab w:val="left" w:pos="420"/>
                <w:tab w:val="clear" w:pos="84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Other options not precluded</w:t>
            </w:r>
          </w:p>
          <w:p>
            <w:pPr>
              <w:numPr>
                <w:ilvl w:val="1"/>
                <w:numId w:val="6"/>
              </w:numPr>
              <w:tabs>
                <w:tab w:val="left" w:pos="420"/>
                <w:tab w:val="clear" w:pos="126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FFS the benefits of implementing more beams per RRH panel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UE parameter: </w:t>
            </w:r>
          </w:p>
          <w:p>
            <w:pPr>
              <w:numPr>
                <w:ilvl w:val="0"/>
                <w:numId w:val="6"/>
              </w:numPr>
              <w:tabs>
                <w:tab w:val="left" w:pos="420"/>
                <w:tab w:val="clear" w:pos="84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1 beam per UE panel </w:t>
            </w:r>
          </w:p>
          <w:p>
            <w:pPr>
              <w:numPr>
                <w:ilvl w:val="0"/>
                <w:numId w:val="6"/>
              </w:numPr>
              <w:tabs>
                <w:tab w:val="left" w:pos="420"/>
                <w:tab w:val="clear" w:pos="84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Other options not precluded</w:t>
            </w:r>
          </w:p>
          <w:p>
            <w:pPr>
              <w:numPr>
                <w:ilvl w:val="1"/>
                <w:numId w:val="6"/>
              </w:numPr>
              <w:tabs>
                <w:tab w:val="left" w:pos="420"/>
                <w:tab w:val="clear" w:pos="126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FFS the benefits of implementing more beams per UE panel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Number of Beam(s) for bi-directional (if confirmed to be used), Scenario-B: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parameter:</w:t>
            </w:r>
          </w:p>
          <w:p>
            <w:pPr>
              <w:numPr>
                <w:ilvl w:val="0"/>
                <w:numId w:val="6"/>
              </w:numPr>
              <w:tabs>
                <w:tab w:val="left" w:pos="420"/>
                <w:tab w:val="clear" w:pos="84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2 beams per RRH panel </w:t>
            </w:r>
          </w:p>
          <w:p>
            <w:pPr>
              <w:numPr>
                <w:ilvl w:val="0"/>
                <w:numId w:val="6"/>
              </w:numPr>
              <w:tabs>
                <w:tab w:val="left" w:pos="420"/>
                <w:tab w:val="clear" w:pos="84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Other options not precluded</w:t>
            </w:r>
          </w:p>
          <w:p>
            <w:pPr>
              <w:numPr>
                <w:ilvl w:val="1"/>
                <w:numId w:val="6"/>
              </w:numPr>
              <w:tabs>
                <w:tab w:val="left" w:pos="420"/>
                <w:tab w:val="clear" w:pos="126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FFS the benefits of implementing more beams per RRH panel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UE parameter: </w:t>
            </w:r>
          </w:p>
          <w:p>
            <w:pPr>
              <w:numPr>
                <w:ilvl w:val="0"/>
                <w:numId w:val="6"/>
              </w:numPr>
              <w:tabs>
                <w:tab w:val="left" w:pos="420"/>
                <w:tab w:val="clear" w:pos="84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1 beam per UE panel </w:t>
            </w:r>
          </w:p>
          <w:p>
            <w:pPr>
              <w:numPr>
                <w:ilvl w:val="0"/>
                <w:numId w:val="6"/>
              </w:numPr>
              <w:tabs>
                <w:tab w:val="left" w:pos="420"/>
                <w:tab w:val="clear" w:pos="840"/>
              </w:tabs>
              <w:autoSpaceDE w:val="0"/>
              <w:autoSpaceDN w:val="0"/>
              <w:adjustRightInd w:val="0"/>
              <w:spacing w:after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Other options not precluded</w:t>
            </w:r>
          </w:p>
          <w:p>
            <w:pPr>
              <w:numPr>
                <w:ilvl w:val="1"/>
                <w:numId w:val="6"/>
              </w:numPr>
              <w:tabs>
                <w:tab w:val="left" w:pos="420"/>
                <w:tab w:val="clear" w:pos="1260"/>
              </w:tabs>
              <w:autoSpaceDE w:val="0"/>
              <w:autoSpaceDN w:val="0"/>
              <w:adjustRightInd w:val="0"/>
              <w:spacing w:after="0"/>
              <w:rPr>
                <w:bCs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FFS the benefits of implementing more beams per UE panel</w:t>
            </w:r>
          </w:p>
        </w:tc>
      </w:tr>
    </w:tbl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In general, more Rx beams mean better performance from coverage point of view at the cost of more beam switching. From RAN 4 requirement point of view, 1 beam per UE panel and 2 beams per RRH panel are preferred.</w:t>
      </w:r>
    </w:p>
    <w:p>
      <w:pPr>
        <w:pStyle w:val="29"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</w:rPr>
        <w:t>2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1 beam per UE panel and 2 beams per RRH panel are preferred for scenario-B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p>
      <w:pPr>
        <w:rPr>
          <w:b/>
          <w:szCs w:val="20"/>
        </w:rPr>
      </w:pPr>
      <w:r>
        <w:rPr>
          <w:b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rPr>
          <w:rFonts w:eastAsia="宋体"/>
          <w:bCs/>
          <w:szCs w:val="20"/>
          <w:lang w:eastAsia="zh-CN"/>
        </w:rPr>
      </w:pPr>
      <w:r>
        <w:rPr>
          <w:rFonts w:hint="eastAsia" w:eastAsia="宋体"/>
          <w:bCs/>
          <w:szCs w:val="20"/>
          <w:lang w:eastAsia="zh-CN"/>
        </w:rPr>
        <w:t>In this contribution, we provide the observation and proposals for HST_FR2 scenario-B: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</w:rPr>
        <w:t>Observation 1: Bi-directional deployment provides slightly better coverage than that of uni-directional deployment at the cost of more beam switching.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</w:rPr>
        <w:t>1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To 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wait for the conclusion </w:t>
      </w:r>
      <w:r>
        <w:rPr>
          <w:rFonts w:hint="eastAsia" w:ascii="Times New Roman" w:hAnsi="Times New Roman"/>
          <w:b/>
          <w:kern w:val="0"/>
          <w:sz w:val="20"/>
          <w:szCs w:val="20"/>
        </w:rPr>
        <w:t>on handling of propagation delay hopping in RRM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session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to determine the deployment for scenario-B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p>
      <w:pPr>
        <w:pStyle w:val="29"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</w:rPr>
        <w:t>2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1 beam per UE panel and 2 beams per RRH panel are preferred for scenario-B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  <w:r>
        <w:rPr>
          <w:rFonts w:hint="eastAsia" w:ascii="Times New Roman" w:hAnsi="Times New Roman"/>
          <w:b/>
          <w:kern w:val="0"/>
          <w:sz w:val="20"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rPr>
          <w:sz w:val="20"/>
          <w:szCs w:val="20"/>
        </w:rPr>
      </w:pPr>
      <w:r>
        <w:rPr>
          <w:rFonts w:hint="eastAsia"/>
          <w:sz w:val="20"/>
          <w:szCs w:val="20"/>
          <w:lang w:val="en-US"/>
        </w:rPr>
        <w:t>R4-2108660WF on FR2 HST Deployment Scenario Analysis</w:t>
      </w:r>
    </w:p>
    <w:p>
      <w:pPr>
        <w:rPr>
          <w:szCs w:val="20"/>
        </w:rPr>
      </w:pPr>
      <w:r>
        <w:rPr>
          <w:rFonts w:hint="eastAsia"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Appendix</w:t>
      </w:r>
    </w:p>
    <w:p>
      <w:pPr>
        <w:pStyle w:val="6"/>
        <w:adjustRightInd w:val="0"/>
        <w:snapToGrid w:val="0"/>
        <w:spacing w:line="240" w:lineRule="auto"/>
        <w:jc w:val="center"/>
        <w:rPr>
          <w:rFonts w:ascii="Times New Roman" w:hAnsi="Times New Roman"/>
          <w:lang w:eastAsia="zh-CN"/>
        </w:rPr>
      </w:pPr>
      <w:bookmarkStart w:id="0" w:name="_Ref492904416"/>
      <w:r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lang w:eastAsia="zh-CN"/>
        </w:rPr>
        <w:t>A-1</w:t>
      </w:r>
      <w:bookmarkEnd w:id="0"/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</w:rPr>
        <w:t xml:space="preserve">valuation assumptions for </w:t>
      </w:r>
      <w:r>
        <w:rPr>
          <w:rFonts w:ascii="Times New Roman" w:hAnsi="Times New Roman"/>
          <w:lang w:eastAsia="zh-CN"/>
        </w:rPr>
        <w:t>scenario-A bi-directional deployment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2995"/>
        <w:gridCol w:w="2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872" w:type="dxa"/>
            <w:vMerge w:val="restart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Parameters</w:t>
            </w:r>
          </w:p>
        </w:tc>
        <w:tc>
          <w:tcPr>
            <w:tcW w:w="5864" w:type="dxa"/>
            <w:gridSpan w:val="2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Deployments for </w:t>
            </w:r>
            <w:r>
              <w:rPr>
                <w:szCs w:val="20"/>
                <w:lang w:eastAsia="zh-CN"/>
              </w:rPr>
              <w:t>scenario-B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872" w:type="dxa"/>
            <w:vMerge w:val="continue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szCs w:val="20"/>
              </w:rPr>
            </w:pPr>
          </w:p>
        </w:tc>
        <w:tc>
          <w:tcPr>
            <w:tcW w:w="2995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Uni-directional 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Bi-directional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configuration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[4 8 2 1 1]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g,H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 xml:space="preserve">=0.5λ, </w:t>
            </w: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</w:t>
            </w:r>
            <w:r>
              <w:rPr>
                <w:rFonts w:eastAsia="宋体"/>
                <w:i/>
                <w:iCs/>
                <w:szCs w:val="20"/>
                <w:vertAlign w:val="subscript"/>
                <w:lang w:eastAsia="zh-CN"/>
              </w:rPr>
              <w:t>V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>=0.5λ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position w:val="-56"/>
                <w:szCs w:val="20"/>
              </w:rPr>
            </w:pPr>
            <w:r>
              <w:rPr>
                <w:position w:val="-12"/>
                <w:szCs w:val="20"/>
              </w:rPr>
              <w:object>
                <v:shape id="_x0000_i1025" o:spt="75" type="#_x0000_t75" style="height:17.85pt;width:119.2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position w:val="-56"/>
                <w:szCs w:val="20"/>
                <w:lang w:eastAsia="zh-CN"/>
              </w:rPr>
            </w:pPr>
            <w:r>
              <w:rPr>
                <w:position w:val="-12"/>
                <w:szCs w:val="20"/>
              </w:rPr>
              <w:object>
                <v:shape id="_x0000_i1026" o:spt="75" type="#_x0000_t75" style="height:17.85pt;width:119.9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CPE antenna configuration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[4 2 2 1 1]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g,H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 xml:space="preserve">=0.5λ, </w:t>
            </w: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</w:t>
            </w:r>
            <w:r>
              <w:rPr>
                <w:rFonts w:eastAsia="宋体"/>
                <w:i/>
                <w:iCs/>
                <w:szCs w:val="20"/>
                <w:vertAlign w:val="subscript"/>
                <w:lang w:eastAsia="zh-CN"/>
              </w:rPr>
              <w:t>V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>=0.5λ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position w:val="-56"/>
                <w:szCs w:val="20"/>
              </w:rPr>
            </w:pPr>
            <w:r>
              <w:rPr>
                <w:position w:val="-12"/>
                <w:szCs w:val="20"/>
              </w:rPr>
              <w:object>
                <v:shape id="_x0000_i1027" o:spt="75" type="#_x0000_t75" style="height:17.85pt;width:119.2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2">
                  <o:LockedField>false</o:LockedField>
                </o:OLEObject>
              </w:objec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position w:val="-12"/>
                <w:szCs w:val="20"/>
              </w:rPr>
              <w:object>
                <v:shape id="_x0000_i1028" o:spt="75" type="#_x0000_t75" style="height:17.85pt;width:119.9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3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panel placement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-18 degree azimuth for right panel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-162 degree azimuth for left panel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right panel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szCs w:val="20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left panel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CPE antenna panel placement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17.1887 degree azimuth for right panel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160.4282 degree azimuth for left panel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right panel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left panel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Tx power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szCs w:val="20"/>
                <w:lang w:eastAsia="ja-JP"/>
              </w:rPr>
            </w:pPr>
            <w:r>
              <w:rPr>
                <w:rFonts w:eastAsia="宋体"/>
                <w:szCs w:val="20"/>
                <w:lang w:eastAsia="zh-CN"/>
              </w:rPr>
              <w:t>30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height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15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CPE antenna height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5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Antenna loss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Paht loss model</w:t>
            </w:r>
          </w:p>
        </w:tc>
        <w:tc>
          <w:tcPr>
            <w:tcW w:w="5864" w:type="dxa"/>
            <w:gridSpan w:val="2"/>
            <w:shd w:val="clear" w:color="auto" w:fill="auto"/>
            <w:noWrap/>
            <w:vAlign w:val="center"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RMaLOS PL1 TS38901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Tx Beam* </w:t>
            </w:r>
          </w:p>
        </w:tc>
        <w:tc>
          <w:tcPr>
            <w:tcW w:w="2995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1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 -23.1986 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 91.5043 degree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1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-23.1986 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91.5043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szCs w:val="20"/>
              </w:rPr>
            </w:pPr>
          </w:p>
        </w:tc>
        <w:tc>
          <w:tcPr>
            <w:tcW w:w="2995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2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 -12.0948 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 90.8003 degree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2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-12.0948 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90.8003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szCs w:val="20"/>
                <w:lang w:eastAsia="ja-JP"/>
              </w:rPr>
            </w:pPr>
          </w:p>
        </w:tc>
        <w:tc>
          <w:tcPr>
            <w:tcW w:w="2995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-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3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-167.9052 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90.8003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szCs w:val="20"/>
                <w:lang w:eastAsia="ja-JP"/>
              </w:rPr>
            </w:pPr>
          </w:p>
        </w:tc>
        <w:tc>
          <w:tcPr>
            <w:tcW w:w="2995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-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4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-156.8014 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91.5043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Rx Beam*</w:t>
            </w:r>
          </w:p>
        </w:tc>
        <w:tc>
          <w:tcPr>
            <w:tcW w:w="5864" w:type="dxa"/>
            <w:gridSpan w:val="2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Left panel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160.4282 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88.8085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szCs w:val="20"/>
                <w:lang w:eastAsia="ja-JP"/>
              </w:rPr>
            </w:pPr>
          </w:p>
        </w:tc>
        <w:tc>
          <w:tcPr>
            <w:tcW w:w="5864" w:type="dxa"/>
            <w:gridSpan w:val="2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Right panel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17.1887 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88.8085 degree</w:t>
            </w:r>
          </w:p>
        </w:tc>
      </w:tr>
    </w:tbl>
    <w:p>
      <w:pPr>
        <w:pStyle w:val="9"/>
        <w:numPr>
          <w:ilvl w:val="0"/>
          <w:numId w:val="0"/>
        </w:numPr>
        <w:rPr>
          <w:lang w:val="en-US"/>
        </w:rPr>
      </w:pPr>
      <w:r>
        <w:rPr>
          <w:rFonts w:hint="eastAsia"/>
          <w:lang w:val="en-US"/>
        </w:rPr>
        <w:t>* The track is parallel to x-axis. The CPE moves in the positive direction of the x-axis. The y-axis coordinate of the RRH is Dmin. The 0 degree of elevation is parallel to z-axis.</w:t>
      </w:r>
    </w:p>
    <w:p>
      <w:pPr>
        <w:pStyle w:val="9"/>
        <w:numPr>
          <w:ilvl w:val="0"/>
          <w:numId w:val="0"/>
        </w:numPr>
        <w:jc w:val="center"/>
      </w:pPr>
      <w:r>
        <w:rPr>
          <w:lang w:val="en-US"/>
        </w:rPr>
        <w:drawing>
          <wp:inline distT="0" distB="0" distL="0" distR="0">
            <wp:extent cx="3124835" cy="2442845"/>
            <wp:effectExtent l="0" t="0" r="0" b="0"/>
            <wp:docPr id="3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4615" t="1697" r="3182" b="2227"/>
                    <a:stretch>
                      <a:fillRect/>
                    </a:stretch>
                  </pic:blipFill>
                  <pic:spPr>
                    <a:xfrm>
                      <a:off x="0" y="0"/>
                      <a:ext cx="3127637" cy="244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宋体"/>
          <w:b/>
          <w:bCs/>
          <w:lang w:eastAsia="zh-CN"/>
        </w:rPr>
      </w:pPr>
      <w:r>
        <w:rPr>
          <w:rFonts w:hint="eastAsia" w:eastAsia="宋体"/>
          <w:b/>
          <w:bCs/>
          <w:lang w:eastAsia="zh-CN"/>
        </w:rPr>
        <w:t>Figure A-1, Rx power of different beam and max Rx power for scenario-B bi-directional deployment</w:t>
      </w:r>
    </w:p>
    <w:p>
      <w:pPr>
        <w:pStyle w:val="9"/>
        <w:numPr>
          <w:ilvl w:val="0"/>
          <w:numId w:val="0"/>
        </w:numPr>
        <w:jc w:val="center"/>
      </w:pPr>
      <w:r>
        <w:rPr>
          <w:lang w:val="en-US"/>
        </w:rPr>
        <w:drawing>
          <wp:inline distT="0" distB="0" distL="0" distR="0">
            <wp:extent cx="3007360" cy="2423795"/>
            <wp:effectExtent l="0" t="0" r="2223" b="0"/>
            <wp:docPr id="3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4694" t="2121" r="6285" b="2227"/>
                    <a:stretch>
                      <a:fillRect/>
                    </a:stretch>
                  </pic:blipFill>
                  <pic:spPr>
                    <a:xfrm>
                      <a:off x="0" y="0"/>
                      <a:ext cx="3007677" cy="2424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宋体"/>
          <w:b/>
          <w:bCs/>
          <w:lang w:eastAsia="zh-CN"/>
        </w:rPr>
      </w:pPr>
      <w:r>
        <w:rPr>
          <w:rFonts w:hint="eastAsia" w:eastAsia="宋体"/>
          <w:b/>
          <w:bCs/>
          <w:lang w:eastAsia="zh-CN"/>
        </w:rPr>
        <w:t>Figure A-2, Rx power of different beam and max Rx power for scenario-B uni-directional deployment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7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47A3F9"/>
    <w:multiLevelType w:val="singleLevel"/>
    <w:tmpl w:val="CA47A3F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 w:cs="Wingdings"/>
      </w:rPr>
    </w:lvl>
  </w:abstractNum>
  <w:abstractNum w:abstractNumId="1">
    <w:nsid w:val="EAC1F30F"/>
    <w:multiLevelType w:val="multilevel"/>
    <w:tmpl w:val="EAC1F30F"/>
    <w:lvl w:ilvl="0" w:tentative="0">
      <w:start w:val="1"/>
      <w:numFmt w:val="bullet"/>
      <w:lvlText w:val="·"/>
      <w:lvlJc w:val="left"/>
      <w:pPr>
        <w:tabs>
          <w:tab w:val="left" w:pos="840"/>
        </w:tabs>
        <w:ind w:left="1260" w:hanging="420"/>
      </w:pPr>
      <w:rPr>
        <w:rFonts w:hint="default" w:ascii="宋体" w:hAnsi="宋体" w:eastAsia="宋体" w:cs="宋体"/>
      </w:rPr>
    </w:lvl>
    <w:lvl w:ilvl="1" w:tentative="0">
      <w:start w:val="1"/>
      <w:numFmt w:val="bullet"/>
      <w:lvlText w:val="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620" w:hanging="420"/>
      </w:pPr>
      <w:rPr>
        <w:rFonts w:hint="default" w:ascii="Wingdings" w:hAnsi="Wingdings"/>
      </w:rPr>
    </w:lvl>
  </w:abstractNum>
  <w:abstractNum w:abstractNumId="2">
    <w:nsid w:val="F555371E"/>
    <w:multiLevelType w:val="singleLevel"/>
    <w:tmpl w:val="F555371E"/>
    <w:lvl w:ilvl="0" w:tentative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hint="default" w:ascii="BatangChe" w:hAnsi="BatangChe" w:eastAsia="BatangChe" w:cs="BatangChe"/>
      </w:rPr>
    </w:lvl>
  </w:abstractNum>
  <w:abstractNum w:abstractNumId="3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1BE1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A37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D515D"/>
    <w:rsid w:val="003E0C1C"/>
    <w:rsid w:val="003E1E13"/>
    <w:rsid w:val="003E2724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4FD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0FC5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01BC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77EE5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07D6F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669B6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624027"/>
    <w:rsid w:val="018B3BAA"/>
    <w:rsid w:val="01957959"/>
    <w:rsid w:val="01DC1C82"/>
    <w:rsid w:val="02065A2E"/>
    <w:rsid w:val="02626E3D"/>
    <w:rsid w:val="0298367A"/>
    <w:rsid w:val="02AB60A7"/>
    <w:rsid w:val="02D254EC"/>
    <w:rsid w:val="02F72239"/>
    <w:rsid w:val="02FE5F82"/>
    <w:rsid w:val="032D5AEE"/>
    <w:rsid w:val="03A05508"/>
    <w:rsid w:val="03AB67DC"/>
    <w:rsid w:val="03C77456"/>
    <w:rsid w:val="043D2559"/>
    <w:rsid w:val="04631946"/>
    <w:rsid w:val="0478015E"/>
    <w:rsid w:val="05510DD1"/>
    <w:rsid w:val="062A620F"/>
    <w:rsid w:val="064B00B0"/>
    <w:rsid w:val="06654A0B"/>
    <w:rsid w:val="06823D8F"/>
    <w:rsid w:val="07622262"/>
    <w:rsid w:val="07CD3CDD"/>
    <w:rsid w:val="09294F7D"/>
    <w:rsid w:val="09674661"/>
    <w:rsid w:val="097E672F"/>
    <w:rsid w:val="09825F02"/>
    <w:rsid w:val="09AB6C45"/>
    <w:rsid w:val="09E20449"/>
    <w:rsid w:val="0A2802DC"/>
    <w:rsid w:val="0A731B50"/>
    <w:rsid w:val="0B802D0D"/>
    <w:rsid w:val="0BF41031"/>
    <w:rsid w:val="0C953742"/>
    <w:rsid w:val="0CA242EA"/>
    <w:rsid w:val="0D613BA3"/>
    <w:rsid w:val="0D6E7FA6"/>
    <w:rsid w:val="0D744565"/>
    <w:rsid w:val="0D7F564D"/>
    <w:rsid w:val="0D835665"/>
    <w:rsid w:val="0DE052FE"/>
    <w:rsid w:val="0E3330D0"/>
    <w:rsid w:val="0F11785B"/>
    <w:rsid w:val="0F372967"/>
    <w:rsid w:val="0F857AA9"/>
    <w:rsid w:val="0FDA7DDA"/>
    <w:rsid w:val="0FFA1150"/>
    <w:rsid w:val="112D72C6"/>
    <w:rsid w:val="11A50508"/>
    <w:rsid w:val="120639A8"/>
    <w:rsid w:val="125D4125"/>
    <w:rsid w:val="12AE4121"/>
    <w:rsid w:val="13583391"/>
    <w:rsid w:val="137F4008"/>
    <w:rsid w:val="13F672DD"/>
    <w:rsid w:val="141B497D"/>
    <w:rsid w:val="144E5CD4"/>
    <w:rsid w:val="151B7098"/>
    <w:rsid w:val="158F210D"/>
    <w:rsid w:val="15E12A88"/>
    <w:rsid w:val="15E95672"/>
    <w:rsid w:val="16271D63"/>
    <w:rsid w:val="16BD2FB9"/>
    <w:rsid w:val="16E7731D"/>
    <w:rsid w:val="17233A9B"/>
    <w:rsid w:val="189E6E25"/>
    <w:rsid w:val="19607D81"/>
    <w:rsid w:val="19AF5CF6"/>
    <w:rsid w:val="1AA54D0B"/>
    <w:rsid w:val="1B396ABD"/>
    <w:rsid w:val="1C3672FA"/>
    <w:rsid w:val="1C3A751E"/>
    <w:rsid w:val="1C5D00DA"/>
    <w:rsid w:val="1C7E2DD6"/>
    <w:rsid w:val="1CAD4CCB"/>
    <w:rsid w:val="1D186F9D"/>
    <w:rsid w:val="1D6F6EAC"/>
    <w:rsid w:val="1DA251E1"/>
    <w:rsid w:val="1DA93704"/>
    <w:rsid w:val="1DD8639D"/>
    <w:rsid w:val="1F295D72"/>
    <w:rsid w:val="1F4325C8"/>
    <w:rsid w:val="1F595BBB"/>
    <w:rsid w:val="1F7C7957"/>
    <w:rsid w:val="1FA168AD"/>
    <w:rsid w:val="1FD21E35"/>
    <w:rsid w:val="1FD96681"/>
    <w:rsid w:val="1FE10390"/>
    <w:rsid w:val="1FEE7A9C"/>
    <w:rsid w:val="205164A7"/>
    <w:rsid w:val="2090238B"/>
    <w:rsid w:val="216D7544"/>
    <w:rsid w:val="21B80AA5"/>
    <w:rsid w:val="225216B5"/>
    <w:rsid w:val="22B37446"/>
    <w:rsid w:val="235408E6"/>
    <w:rsid w:val="23DF24C3"/>
    <w:rsid w:val="24386853"/>
    <w:rsid w:val="24715F69"/>
    <w:rsid w:val="24B140D4"/>
    <w:rsid w:val="24C569C9"/>
    <w:rsid w:val="24F907DC"/>
    <w:rsid w:val="250D35C2"/>
    <w:rsid w:val="252A03F9"/>
    <w:rsid w:val="25EF43C8"/>
    <w:rsid w:val="262E08BF"/>
    <w:rsid w:val="263951B2"/>
    <w:rsid w:val="263E55AD"/>
    <w:rsid w:val="283146AB"/>
    <w:rsid w:val="28A96A0F"/>
    <w:rsid w:val="28EE7A07"/>
    <w:rsid w:val="2A1E2DE0"/>
    <w:rsid w:val="2A7049D1"/>
    <w:rsid w:val="2AB04251"/>
    <w:rsid w:val="2ABE7215"/>
    <w:rsid w:val="2AE8229B"/>
    <w:rsid w:val="2AEC42E5"/>
    <w:rsid w:val="2B034D47"/>
    <w:rsid w:val="2B641C02"/>
    <w:rsid w:val="2B6F681F"/>
    <w:rsid w:val="2B893BA3"/>
    <w:rsid w:val="2BC82480"/>
    <w:rsid w:val="2BEB375B"/>
    <w:rsid w:val="2C1A5D63"/>
    <w:rsid w:val="2C2907BF"/>
    <w:rsid w:val="2C80477B"/>
    <w:rsid w:val="2CA73FE3"/>
    <w:rsid w:val="2CD46AFB"/>
    <w:rsid w:val="2CE15438"/>
    <w:rsid w:val="2D812190"/>
    <w:rsid w:val="2DA94150"/>
    <w:rsid w:val="2E1176AC"/>
    <w:rsid w:val="2EC4540D"/>
    <w:rsid w:val="2ECB7AE0"/>
    <w:rsid w:val="2F0E5D72"/>
    <w:rsid w:val="2F235269"/>
    <w:rsid w:val="2F322289"/>
    <w:rsid w:val="2F4B1C2D"/>
    <w:rsid w:val="30571C73"/>
    <w:rsid w:val="313A0372"/>
    <w:rsid w:val="316C26E3"/>
    <w:rsid w:val="31B6217A"/>
    <w:rsid w:val="322B067A"/>
    <w:rsid w:val="32305666"/>
    <w:rsid w:val="328D4D87"/>
    <w:rsid w:val="32EC2013"/>
    <w:rsid w:val="33021368"/>
    <w:rsid w:val="33133DBA"/>
    <w:rsid w:val="33491F36"/>
    <w:rsid w:val="33883009"/>
    <w:rsid w:val="34462915"/>
    <w:rsid w:val="34EA3595"/>
    <w:rsid w:val="34F31159"/>
    <w:rsid w:val="35684E72"/>
    <w:rsid w:val="35D34EB8"/>
    <w:rsid w:val="361A0DD1"/>
    <w:rsid w:val="363A75C1"/>
    <w:rsid w:val="36950F43"/>
    <w:rsid w:val="36F13745"/>
    <w:rsid w:val="37235D83"/>
    <w:rsid w:val="37B96E00"/>
    <w:rsid w:val="386C1CFB"/>
    <w:rsid w:val="388C38C8"/>
    <w:rsid w:val="388E6306"/>
    <w:rsid w:val="3891144C"/>
    <w:rsid w:val="38B05255"/>
    <w:rsid w:val="393853EE"/>
    <w:rsid w:val="39474FFC"/>
    <w:rsid w:val="39A12E64"/>
    <w:rsid w:val="39D65692"/>
    <w:rsid w:val="39DB73FE"/>
    <w:rsid w:val="39E551C2"/>
    <w:rsid w:val="3A985F9F"/>
    <w:rsid w:val="3ACA79CB"/>
    <w:rsid w:val="3ACD696C"/>
    <w:rsid w:val="3B1D04C9"/>
    <w:rsid w:val="3B68666D"/>
    <w:rsid w:val="3B924465"/>
    <w:rsid w:val="3BA94452"/>
    <w:rsid w:val="3C8B2EA4"/>
    <w:rsid w:val="3CC85F33"/>
    <w:rsid w:val="3D6F2596"/>
    <w:rsid w:val="3DC16634"/>
    <w:rsid w:val="3E1A5B77"/>
    <w:rsid w:val="3E3D115C"/>
    <w:rsid w:val="3E816ACA"/>
    <w:rsid w:val="3EBA3F51"/>
    <w:rsid w:val="3ED90D52"/>
    <w:rsid w:val="3EFB0DA2"/>
    <w:rsid w:val="3F4371E9"/>
    <w:rsid w:val="3F5B25E2"/>
    <w:rsid w:val="3FBE5D52"/>
    <w:rsid w:val="40273EB3"/>
    <w:rsid w:val="403917EB"/>
    <w:rsid w:val="404F7A6B"/>
    <w:rsid w:val="40705D5D"/>
    <w:rsid w:val="40C765F3"/>
    <w:rsid w:val="40C86609"/>
    <w:rsid w:val="41071BAC"/>
    <w:rsid w:val="41256FB7"/>
    <w:rsid w:val="42C843A0"/>
    <w:rsid w:val="42F20CDD"/>
    <w:rsid w:val="43776349"/>
    <w:rsid w:val="43A46A86"/>
    <w:rsid w:val="44B2766E"/>
    <w:rsid w:val="45834801"/>
    <w:rsid w:val="458F4D24"/>
    <w:rsid w:val="459C5BD8"/>
    <w:rsid w:val="45F60A50"/>
    <w:rsid w:val="465B1E86"/>
    <w:rsid w:val="477F6120"/>
    <w:rsid w:val="482C6CD1"/>
    <w:rsid w:val="4853345A"/>
    <w:rsid w:val="48845C84"/>
    <w:rsid w:val="48F82FC3"/>
    <w:rsid w:val="490D3059"/>
    <w:rsid w:val="49500FEB"/>
    <w:rsid w:val="49745C9D"/>
    <w:rsid w:val="49F32E1B"/>
    <w:rsid w:val="49FF1C1E"/>
    <w:rsid w:val="4A0B7057"/>
    <w:rsid w:val="4A280667"/>
    <w:rsid w:val="4A471CD8"/>
    <w:rsid w:val="4A511B6E"/>
    <w:rsid w:val="4A7C4548"/>
    <w:rsid w:val="4B5B5B93"/>
    <w:rsid w:val="4B901389"/>
    <w:rsid w:val="4BE541F5"/>
    <w:rsid w:val="4C2C30BE"/>
    <w:rsid w:val="4C3A2A9D"/>
    <w:rsid w:val="4C5D2EB7"/>
    <w:rsid w:val="4C8D7B0E"/>
    <w:rsid w:val="4CBF03D6"/>
    <w:rsid w:val="4D014AEF"/>
    <w:rsid w:val="4D436E77"/>
    <w:rsid w:val="4D513299"/>
    <w:rsid w:val="4DA22392"/>
    <w:rsid w:val="4E9A7FF9"/>
    <w:rsid w:val="4EDF702E"/>
    <w:rsid w:val="4EF148C1"/>
    <w:rsid w:val="4F047884"/>
    <w:rsid w:val="4F813AF7"/>
    <w:rsid w:val="4FBD6EC5"/>
    <w:rsid w:val="4FBF1AB2"/>
    <w:rsid w:val="504E5AC6"/>
    <w:rsid w:val="505076EF"/>
    <w:rsid w:val="505F3BD5"/>
    <w:rsid w:val="508A0B34"/>
    <w:rsid w:val="513C5648"/>
    <w:rsid w:val="51B14BED"/>
    <w:rsid w:val="51EE252C"/>
    <w:rsid w:val="51FA3D86"/>
    <w:rsid w:val="52022698"/>
    <w:rsid w:val="526965AA"/>
    <w:rsid w:val="531E2281"/>
    <w:rsid w:val="54175BE1"/>
    <w:rsid w:val="5426347A"/>
    <w:rsid w:val="5445166E"/>
    <w:rsid w:val="54632332"/>
    <w:rsid w:val="54944CE7"/>
    <w:rsid w:val="55436523"/>
    <w:rsid w:val="55CA20E9"/>
    <w:rsid w:val="55ED23C7"/>
    <w:rsid w:val="563C5184"/>
    <w:rsid w:val="565631F5"/>
    <w:rsid w:val="566967B9"/>
    <w:rsid w:val="56A95457"/>
    <w:rsid w:val="56C44CD3"/>
    <w:rsid w:val="581B09AF"/>
    <w:rsid w:val="582E227B"/>
    <w:rsid w:val="58983966"/>
    <w:rsid w:val="589F3533"/>
    <w:rsid w:val="593261D2"/>
    <w:rsid w:val="59423730"/>
    <w:rsid w:val="595A6E9E"/>
    <w:rsid w:val="5A30212F"/>
    <w:rsid w:val="5A673B34"/>
    <w:rsid w:val="5A8F1C82"/>
    <w:rsid w:val="5AA04D8D"/>
    <w:rsid w:val="5AFF5DE6"/>
    <w:rsid w:val="5B4026E8"/>
    <w:rsid w:val="5B482E24"/>
    <w:rsid w:val="5C9A4DB7"/>
    <w:rsid w:val="5D1A39EE"/>
    <w:rsid w:val="5D5C7688"/>
    <w:rsid w:val="5E224225"/>
    <w:rsid w:val="5E2732CD"/>
    <w:rsid w:val="5E336F39"/>
    <w:rsid w:val="5F260BD6"/>
    <w:rsid w:val="60205F90"/>
    <w:rsid w:val="608E2F6C"/>
    <w:rsid w:val="60EC3C37"/>
    <w:rsid w:val="61A058F7"/>
    <w:rsid w:val="61B93E53"/>
    <w:rsid w:val="62082A4E"/>
    <w:rsid w:val="62D53BF4"/>
    <w:rsid w:val="62E61A04"/>
    <w:rsid w:val="63610183"/>
    <w:rsid w:val="637947A5"/>
    <w:rsid w:val="63D0005D"/>
    <w:rsid w:val="64B7605C"/>
    <w:rsid w:val="64EC38D4"/>
    <w:rsid w:val="651B3FED"/>
    <w:rsid w:val="652B096E"/>
    <w:rsid w:val="655C4EB4"/>
    <w:rsid w:val="658B678B"/>
    <w:rsid w:val="65C6296B"/>
    <w:rsid w:val="66131984"/>
    <w:rsid w:val="66701083"/>
    <w:rsid w:val="66E16576"/>
    <w:rsid w:val="66E33C2D"/>
    <w:rsid w:val="67427945"/>
    <w:rsid w:val="68233C28"/>
    <w:rsid w:val="685D4279"/>
    <w:rsid w:val="6906197A"/>
    <w:rsid w:val="692A17F3"/>
    <w:rsid w:val="69C27972"/>
    <w:rsid w:val="6A2E4954"/>
    <w:rsid w:val="6A6E396D"/>
    <w:rsid w:val="6AC9421D"/>
    <w:rsid w:val="6AD94F47"/>
    <w:rsid w:val="6C4C2667"/>
    <w:rsid w:val="6CDA49A3"/>
    <w:rsid w:val="6CF36133"/>
    <w:rsid w:val="6D2C0194"/>
    <w:rsid w:val="6D2E084D"/>
    <w:rsid w:val="6DD1076A"/>
    <w:rsid w:val="6DDE3DAF"/>
    <w:rsid w:val="6E1735DC"/>
    <w:rsid w:val="6E2211D6"/>
    <w:rsid w:val="6E956C66"/>
    <w:rsid w:val="704E2701"/>
    <w:rsid w:val="709838B0"/>
    <w:rsid w:val="70E13200"/>
    <w:rsid w:val="714420CD"/>
    <w:rsid w:val="714736FF"/>
    <w:rsid w:val="715F4C2D"/>
    <w:rsid w:val="72344C7A"/>
    <w:rsid w:val="724530CF"/>
    <w:rsid w:val="72CB7F46"/>
    <w:rsid w:val="72ED0418"/>
    <w:rsid w:val="73121CB7"/>
    <w:rsid w:val="7350026A"/>
    <w:rsid w:val="745C121D"/>
    <w:rsid w:val="755C4C37"/>
    <w:rsid w:val="761A2E8D"/>
    <w:rsid w:val="766A005F"/>
    <w:rsid w:val="768D7CD7"/>
    <w:rsid w:val="76EF3667"/>
    <w:rsid w:val="774D1291"/>
    <w:rsid w:val="776C25E5"/>
    <w:rsid w:val="776C3E9D"/>
    <w:rsid w:val="77B7237F"/>
    <w:rsid w:val="78271104"/>
    <w:rsid w:val="784B7472"/>
    <w:rsid w:val="78CB6CD3"/>
    <w:rsid w:val="7962750F"/>
    <w:rsid w:val="796B0021"/>
    <w:rsid w:val="797218E2"/>
    <w:rsid w:val="7A4205D3"/>
    <w:rsid w:val="7AB05BBC"/>
    <w:rsid w:val="7AB44E97"/>
    <w:rsid w:val="7AB94AC3"/>
    <w:rsid w:val="7AE36910"/>
    <w:rsid w:val="7B940404"/>
    <w:rsid w:val="7BF8597E"/>
    <w:rsid w:val="7C14711B"/>
    <w:rsid w:val="7C312516"/>
    <w:rsid w:val="7C45431D"/>
    <w:rsid w:val="7C4A144B"/>
    <w:rsid w:val="7C5E2D26"/>
    <w:rsid w:val="7C963B24"/>
    <w:rsid w:val="7D4C1C46"/>
    <w:rsid w:val="7DB44FBE"/>
    <w:rsid w:val="7DC64605"/>
    <w:rsid w:val="7DDD0501"/>
    <w:rsid w:val="7E2653BA"/>
    <w:rsid w:val="7E2B63E7"/>
    <w:rsid w:val="7E8B79FF"/>
    <w:rsid w:val="7E935AFB"/>
    <w:rsid w:val="7E9C3271"/>
    <w:rsid w:val="7EC65AAB"/>
    <w:rsid w:val="7F4610EC"/>
    <w:rsid w:val="7F50759A"/>
    <w:rsid w:val="7FA522BC"/>
    <w:rsid w:val="7FC90A85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8"/>
    <w:next w:val="8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标题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正文文本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emf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7.emf"/><Relationship Id="rId14" Type="http://schemas.openxmlformats.org/officeDocument/2006/relationships/image" Target="media/image6.emf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5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7</Pages>
  <Words>877</Words>
  <Characters>5000</Characters>
  <Lines>41</Lines>
  <Paragraphs>11</Paragraphs>
  <TotalTime>15</TotalTime>
  <ScaleCrop>false</ScaleCrop>
  <LinksUpToDate>false</LinksUpToDate>
  <CharactersWithSpaces>5866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2021-08-06T13:05:10Z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